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1109A1" w:rsidRDefault="00304504">
      <w:pPr>
        <w:spacing w:before="200" w:after="80"/>
      </w:pPr>
      <w:r>
        <w:rPr>
          <w:b/>
          <w:bCs/>
          <w:color w:val="1F3864"/>
          <w:sz w:val="44"/>
          <w:szCs w:val="44"/>
        </w:rPr>
        <w:t>WDI 2026 Topic Scoring Criteria</w:t>
      </w:r>
    </w:p>
    <w:p w14:paraId="3FA9FDE9" w14:textId="77777777" w:rsidR="001109A1" w:rsidRDefault="00304504">
      <w:pPr>
        <w:spacing w:after="300"/>
      </w:pPr>
      <w:r>
        <w:rPr>
          <w:b/>
          <w:bCs/>
          <w:color w:val="2E75B6"/>
          <w:sz w:val="36"/>
          <w:szCs w:val="36"/>
        </w:rPr>
        <w:t>Topic 9: Contract Types</w:t>
      </w:r>
    </w:p>
    <w:p w14:paraId="672A6659" w14:textId="77777777" w:rsidR="001109A1" w:rsidRDefault="001109A1">
      <w:pPr>
        <w:pBdr>
          <w:bottom w:val="single" w:sz="4" w:space="1" w:color="D9D9D9"/>
        </w:pBdr>
        <w:spacing w:before="240" w:after="240"/>
      </w:pPr>
    </w:p>
    <w:p w14:paraId="043D9F99" w14:textId="77777777" w:rsidR="001109A1" w:rsidRDefault="00304504">
      <w:pPr>
        <w:pStyle w:val="Heading1"/>
        <w:spacing w:before="360" w:after="160"/>
      </w:pPr>
      <w:r w:rsidRPr="3EEFC735">
        <w:rPr>
          <w:b/>
          <w:bCs/>
          <w:color w:val="1F3864" w:themeColor="accent1" w:themeShade="80"/>
          <w:sz w:val="34"/>
          <w:szCs w:val="34"/>
        </w:rPr>
        <w:t>1. Topic Overview</w:t>
      </w:r>
    </w:p>
    <w:p w14:paraId="05525C64" w14:textId="77777777" w:rsidR="001109A1" w:rsidRDefault="475EDD22">
      <w:pPr>
        <w:spacing w:before="80" w:after="80"/>
      </w:pPr>
      <w:r w:rsidRPr="475EDD22">
        <w:rPr>
          <w:color w:val="1A1A1A"/>
        </w:rPr>
        <w:t>This topic assesses how completely and transparently the company discloses its workforce structure by contract type — covering both direct employees (by contract type) and non-employee direct operations workers — and whether the company understands and can explain trends in its contingent workforce.</w:t>
      </w:r>
    </w:p>
    <w:p w14:paraId="4E32FE4D" w14:textId="77777777" w:rsidR="001109A1" w:rsidRDefault="00304504">
      <w:pPr>
        <w:spacing w:before="80" w:after="80"/>
      </w:pPr>
      <w:r>
        <w:rPr>
          <w:color w:val="1A1A1A"/>
        </w:rPr>
        <w:t>The topic is scored using five questions: Q3.3 (employee contract type breakdown, table with 4 fixed rows), Q3.4 (non-employee workers, table with 4 fixed rows), Q3.5 (contingent worker trend, dropdown + numeric field), Q3.5a (if trend shows a change — explain why and future expectation, text 150 words), and Q3.5b (if trend is broadly stable — future expectations, text 150 words). The notes field Q3.B is excluded from scoring.</w:t>
      </w:r>
    </w:p>
    <w:p w14:paraId="42AADA58" w14:textId="77777777" w:rsidR="001109A1" w:rsidRDefault="00304504">
      <w:pPr>
        <w:pStyle w:val="Heading2"/>
        <w:spacing w:before="280" w:after="120"/>
      </w:pPr>
      <w:r>
        <w:rPr>
          <w:b/>
          <w:bCs/>
          <w:color w:val="2E75B6"/>
        </w:rPr>
        <w:t>Scoring Philosophy for This Topic</w:t>
      </w:r>
    </w:p>
    <w:p w14:paraId="17BAA0B8" w14:textId="77777777" w:rsidR="001109A1" w:rsidRDefault="475EDD22">
      <w:pPr>
        <w:spacing w:before="80" w:after="80"/>
      </w:pPr>
      <w:r w:rsidRPr="475EDD22">
        <w:rPr>
          <w:color w:val="1A1A1A"/>
        </w:rPr>
        <w:t>Scoring is based on how completely the company accounts for its actual workforce — not on how many table rows are filled. Q3.3 and Q3.4 both have 4 fixed rows that cannot be edited or added. What matters is not simply that rows have data entered, but whether the data collectively accounts for the company’s actual workforce with sufficient methodology transparency and scope coverage.</w:t>
      </w:r>
    </w:p>
    <w:p w14:paraId="393F0D4B" w14:textId="77777777" w:rsidR="001109A1" w:rsidRDefault="475EDD22">
      <w:pPr>
        <w:spacing w:before="80" w:after="80"/>
      </w:pPr>
      <w:r w:rsidRPr="475EDD22">
        <w:rPr>
          <w:color w:val="1A1A1A"/>
        </w:rPr>
        <w:t>A company with only 2 active contract types that provides both with numbers, percentages, methodology notes, and broad scope coverage demonstrates better awareness than a company with 4 types that provides vague partial figures with no methodology and domestic scope only. Completeness is always relative to the company’s actual workforce structure.</w:t>
      </w:r>
    </w:p>
    <w:p w14:paraId="167ABDA0" w14:textId="77777777" w:rsidR="001109A1" w:rsidRDefault="475EDD22">
      <w:pPr>
        <w:spacing w:before="80" w:after="60"/>
      </w:pPr>
      <w:r w:rsidRPr="475EDD22">
        <w:rPr>
          <w:i/>
          <w:iCs/>
          <w:color w:val="666666"/>
          <w:sz w:val="17"/>
          <w:szCs w:val="17"/>
        </w:rPr>
        <w:t>A company that enters zero for a contract type it genuinely does not use demonstrates better awareness than one that leaves the row blank — confirmed zeros remove ambiguity about whether the type exists or was simply omitted.</w:t>
      </w:r>
    </w:p>
    <w:p w14:paraId="311460FA" w14:textId="77777777" w:rsidR="001109A1" w:rsidRDefault="00304504">
      <w:pPr>
        <w:pStyle w:val="Heading2"/>
        <w:spacing w:before="280" w:after="120"/>
      </w:pPr>
      <w:r>
        <w:rPr>
          <w:b/>
          <w:bCs/>
          <w:color w:val="2E75B6"/>
        </w:rPr>
        <w:t>Applicability Logic: OR-then-AND</w:t>
      </w:r>
    </w:p>
    <w:p w14:paraId="0493AA73" w14:textId="77777777" w:rsidR="001109A1" w:rsidRDefault="00304504">
      <w:pPr>
        <w:spacing w:before="80" w:after="80"/>
      </w:pPr>
      <w:r>
        <w:rPr>
          <w:color w:val="1A1A1A"/>
        </w:rPr>
        <w:t>Q3.3, Q3.4, and Q3.5 are always applicable. Q3.5a is applicable when Q3.5 shows a change (increased or decreased). Q3.5b is applicable when Q3.5 shows broadly stable. Q3.5a and Q3.5b are mutually exclusive — exactly one always applies. The Not Yet cap does not apply here: Q3.5b is a forward-looking expectation from a company with a genuinely stable contingent workforce, not a ‘Not Yet’ response.</w:t>
      </w:r>
    </w:p>
    <w:p w14:paraId="349A9140" w14:textId="77777777" w:rsidR="001109A1" w:rsidRDefault="475EDD22">
      <w:pPr>
        <w:spacing w:before="80" w:after="80"/>
      </w:pPr>
      <w:r w:rsidRPr="475EDD22">
        <w:rPr>
          <w:color w:val="1A1A1A"/>
        </w:rPr>
        <w:t>OR logic applies at scores 0–3: these levels are determined primarily by Q3.3 quality — a company can reach score 3 through strong Q3.3 coverage, methodology, and scope even if Q3.4 is thin and Q3.5a/Q3.5b is brief. AND logic applies at scores 4 and 5: reaching these levels requires Q3.3 AND Q3.4 AND Q3.5/Q3.5a or Q3.5b all to be strong independently.</w:t>
      </w:r>
    </w:p>
    <w:p w14:paraId="499DABAE" w14:textId="77777777" w:rsidR="001109A1" w:rsidRDefault="00304504">
      <w:pPr>
        <w:pStyle w:val="Heading2"/>
        <w:spacing w:before="280" w:after="120"/>
      </w:pPr>
      <w:r>
        <w:rPr>
          <w:b/>
          <w:bCs/>
          <w:color w:val="2E75B6"/>
        </w:rPr>
        <w:t>3A Dimension Mapping</w:t>
      </w:r>
    </w:p>
    <w:p w14:paraId="3903BA05" w14:textId="77777777" w:rsidR="001109A1" w:rsidRDefault="475EDD22">
      <w:pPr>
        <w:spacing w:before="80" w:after="80"/>
      </w:pPr>
      <w:r w:rsidRPr="475EDD22">
        <w:rPr>
          <w:color w:val="1A1A1A"/>
        </w:rPr>
        <w:t xml:space="preserve">All five questions are tagged Awareness only. This is a single-dimension topic. The questions ask the company to identify, </w:t>
      </w:r>
      <w:proofErr w:type="spellStart"/>
      <w:r w:rsidRPr="475EDD22">
        <w:rPr>
          <w:color w:val="1A1A1A"/>
        </w:rPr>
        <w:t>recognise</w:t>
      </w:r>
      <w:proofErr w:type="spellEnd"/>
      <w:r w:rsidRPr="475EDD22">
        <w:rPr>
          <w:color w:val="1A1A1A"/>
        </w:rPr>
        <w:t>, and describe its workforce structure by contract type — baseline profile data about who works for the company and under what arrangements. The 3A evidence columns confirm: Approach = (none identified) and Action = (none identified) across all five questions.</w:t>
      </w:r>
    </w:p>
    <w:p w14:paraId="59DCA07E" w14:textId="77777777" w:rsidR="001109A1" w:rsidRDefault="00304504">
      <w:pPr>
        <w:spacing w:before="80" w:after="60"/>
      </w:pPr>
      <w:r>
        <w:rPr>
          <w:i/>
          <w:iCs/>
          <w:color w:val="666666"/>
          <w:sz w:val="17"/>
          <w:szCs w:val="17"/>
        </w:rPr>
        <w:t>Q3.B (Notes on Contract types) is excluded from scoring.</w:t>
      </w:r>
    </w:p>
    <w:p w14:paraId="0A37501D" w14:textId="77777777" w:rsidR="001109A1" w:rsidRDefault="001109A1">
      <w:pPr>
        <w:pBdr>
          <w:bottom w:val="single" w:sz="4" w:space="1" w:color="D9D9D9"/>
        </w:pBdr>
        <w:spacing w:before="240" w:after="240"/>
      </w:pPr>
    </w:p>
    <w:p w14:paraId="3736FDB2" w14:textId="77777777" w:rsidR="001109A1" w:rsidRDefault="00304504">
      <w:pPr>
        <w:pStyle w:val="Heading1"/>
        <w:spacing w:before="360" w:after="160"/>
      </w:pPr>
      <w:r>
        <w:rPr>
          <w:b/>
          <w:bCs/>
          <w:color w:val="1F3864"/>
          <w:sz w:val="34"/>
          <w:szCs w:val="34"/>
        </w:rPr>
        <w:t>2. Dimension Definitions</w:t>
      </w:r>
    </w:p>
    <w:p w14:paraId="778A0A59" w14:textId="77777777" w:rsidR="001109A1" w:rsidRDefault="00304504">
      <w:pPr>
        <w:spacing w:before="80" w:after="80"/>
      </w:pPr>
      <w:r>
        <w:rPr>
          <w:color w:val="1A1A1A"/>
        </w:rPr>
        <w:lastRenderedPageBreak/>
        <w:t>Since this is a single-dimension topic, the table below defines what Awareness means specifically in the context of Contract Types.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1109A1" w14:paraId="1C949072" w14:textId="77777777">
        <w:trPr>
          <w:tblHeader/>
        </w:trPr>
        <w:tc>
          <w:tcPr>
            <w:tcW w:w="1008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4833031F" w14:textId="77777777" w:rsidR="001109A1" w:rsidRDefault="00304504">
            <w:pPr>
              <w:jc w:val="center"/>
            </w:pPr>
            <w:r>
              <w:rPr>
                <w:b/>
                <w:bCs/>
                <w:color w:val="FFFFFF"/>
                <w:sz w:val="17"/>
                <w:szCs w:val="17"/>
              </w:rPr>
              <w:t>AWARENESS</w:t>
            </w:r>
          </w:p>
        </w:tc>
      </w:tr>
      <w:tr w:rsidR="001109A1" w14:paraId="152BD2F5" w14:textId="77777777">
        <w:tc>
          <w:tcPr>
            <w:tcW w:w="100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1FFBAD" w14:textId="77777777" w:rsidR="001109A1" w:rsidRDefault="00304504">
            <w:pPr>
              <w:spacing w:before="20" w:after="20"/>
            </w:pPr>
            <w:r>
              <w:rPr>
                <w:color w:val="1A1A1A"/>
                <w:sz w:val="18"/>
                <w:szCs w:val="18"/>
              </w:rPr>
              <w:t>Awareness is assessed across all five questions, with Q3.3 as the primary backbone.  **Q3.3 (always applicable, primary backbone</w:t>
            </w:r>
            <w:proofErr w:type="gramStart"/>
            <w:r>
              <w:rPr>
                <w:color w:val="1A1A1A"/>
                <w:sz w:val="18"/>
                <w:szCs w:val="18"/>
              </w:rPr>
              <w:t>):*</w:t>
            </w:r>
            <w:proofErr w:type="gramEnd"/>
            <w:r>
              <w:rPr>
                <w:color w:val="1A1A1A"/>
                <w:sz w:val="18"/>
                <w:szCs w:val="18"/>
              </w:rPr>
              <w:t xml:space="preserve">* Table with 4 fixed rows — Full-time/permanent, Fixed-term/temporary, Part-time, Non-guaranteed hours employees. For each row, the company can provide: a total number, a percentage of total direct operations employees, a methodology </w:t>
            </w:r>
            <w:proofErr w:type="gramStart"/>
            <w:r>
              <w:rPr>
                <w:color w:val="1A1A1A"/>
                <w:sz w:val="18"/>
                <w:szCs w:val="18"/>
              </w:rPr>
              <w:t>note</w:t>
            </w:r>
            <w:proofErr w:type="gramEnd"/>
            <w:r>
              <w:rPr>
                <w:color w:val="1A1A1A"/>
                <w:sz w:val="18"/>
                <w:szCs w:val="18"/>
              </w:rPr>
              <w:t xml:space="preserve"> (150 words), and a scope selector. The scope selector has predefined options including domestic operations/HQ only, all significant operating locations, and percentage-of-workforce bands. Scoring rewards: providing both numbers AND percentages (not just one); transparent methodology explaining the company’s definition for each contract type and the calculation base; and broader scope coverage (all significant operating locations scores higher than domestic/HQ only). Coverage completeness matters: do the reported percentages for applicable types </w:t>
            </w:r>
            <w:proofErr w:type="gramStart"/>
            <w:r>
              <w:rPr>
                <w:color w:val="1A1A1A"/>
                <w:sz w:val="18"/>
                <w:szCs w:val="18"/>
              </w:rPr>
              <w:t>sum</w:t>
            </w:r>
            <w:proofErr w:type="gramEnd"/>
            <w:r>
              <w:rPr>
                <w:color w:val="1A1A1A"/>
                <w:sz w:val="18"/>
                <w:szCs w:val="18"/>
              </w:rPr>
              <w:t xml:space="preserve"> close to 100% of the workforce? Companies with fewer active contract types are not </w:t>
            </w:r>
            <w:proofErr w:type="spellStart"/>
            <w:r>
              <w:rPr>
                <w:color w:val="1A1A1A"/>
                <w:sz w:val="18"/>
                <w:szCs w:val="18"/>
              </w:rPr>
              <w:t>penalised</w:t>
            </w:r>
            <w:proofErr w:type="spellEnd"/>
            <w:r>
              <w:rPr>
                <w:color w:val="1A1A1A"/>
                <w:sz w:val="18"/>
                <w:szCs w:val="18"/>
              </w:rPr>
              <w:t xml:space="preserve"> — confirmed zeros for non-applicable types demonstrate better awareness than blank rows.  **Q3.4 (always applicable</w:t>
            </w:r>
            <w:proofErr w:type="gramStart"/>
            <w:r>
              <w:rPr>
                <w:color w:val="1A1A1A"/>
                <w:sz w:val="18"/>
                <w:szCs w:val="18"/>
              </w:rPr>
              <w:t>):*</w:t>
            </w:r>
            <w:proofErr w:type="gramEnd"/>
            <w:r>
              <w:rPr>
                <w:color w:val="1A1A1A"/>
                <w:sz w:val="18"/>
                <w:szCs w:val="18"/>
              </w:rPr>
              <w:t xml:space="preserve">* Table with 4 fixed rows — Contractors, Agency workers, Franchisee workers, </w:t>
            </w:r>
            <w:proofErr w:type="gramStart"/>
            <w:r>
              <w:rPr>
                <w:color w:val="1A1A1A"/>
                <w:sz w:val="18"/>
                <w:szCs w:val="18"/>
              </w:rPr>
              <w:t>Third party on site</w:t>
            </w:r>
            <w:proofErr w:type="gramEnd"/>
            <w:r>
              <w:rPr>
                <w:color w:val="1A1A1A"/>
                <w:sz w:val="18"/>
                <w:szCs w:val="18"/>
              </w:rPr>
              <w:t xml:space="preserve"> workers. No methodology column (unlike Q3.</w:t>
            </w:r>
            <w:proofErr w:type="gramStart"/>
            <w:r>
              <w:rPr>
                <w:color w:val="1A1A1A"/>
                <w:sz w:val="18"/>
                <w:szCs w:val="18"/>
              </w:rPr>
              <w:t>3) —</w:t>
            </w:r>
            <w:proofErr w:type="gramEnd"/>
            <w:r>
              <w:rPr>
                <w:color w:val="1A1A1A"/>
                <w:sz w:val="18"/>
                <w:szCs w:val="18"/>
              </w:rPr>
              <w:t xml:space="preserve"> just number, percentage, and scope selector. Not all types apply to every company. Scoring rewards reporting applicable types with numbers and </w:t>
            </w:r>
            <w:proofErr w:type="gramStart"/>
            <w:r>
              <w:rPr>
                <w:color w:val="1A1A1A"/>
                <w:sz w:val="18"/>
                <w:szCs w:val="18"/>
              </w:rPr>
              <w:t>percentages, or</w:t>
            </w:r>
            <w:proofErr w:type="gramEnd"/>
            <w:r>
              <w:rPr>
                <w:color w:val="1A1A1A"/>
                <w:sz w:val="18"/>
                <w:szCs w:val="18"/>
              </w:rPr>
              <w:t xml:space="preserve"> confirming non-applicable types as zero. Blank rows without explanation create ambiguity.  **Q3.5 (always applicable</w:t>
            </w:r>
            <w:proofErr w:type="gramStart"/>
            <w:r>
              <w:rPr>
                <w:color w:val="1A1A1A"/>
                <w:sz w:val="18"/>
                <w:szCs w:val="18"/>
              </w:rPr>
              <w:t>):*</w:t>
            </w:r>
            <w:proofErr w:type="gramEnd"/>
            <w:r>
              <w:rPr>
                <w:color w:val="1A1A1A"/>
                <w:sz w:val="18"/>
                <w:szCs w:val="18"/>
              </w:rPr>
              <w:t>* Dropdown (5 options: Increased &gt;5%, Decreased &gt;5%, Decreased 2-5%, Increased 2-5%, Stable &lt;2%) plus a numeric % change field. Both the dropdown selection AND the numeric field should be completed.  **Q3.5a (if change</w:t>
            </w:r>
            <w:proofErr w:type="gramStart"/>
            <w:r>
              <w:rPr>
                <w:color w:val="1A1A1A"/>
                <w:sz w:val="18"/>
                <w:szCs w:val="18"/>
              </w:rPr>
              <w:t>):*</w:t>
            </w:r>
            <w:proofErr w:type="gramEnd"/>
            <w:r>
              <w:rPr>
                <w:color w:val="1A1A1A"/>
                <w:sz w:val="18"/>
                <w:szCs w:val="18"/>
              </w:rPr>
              <w:t xml:space="preserve">* 150-word explanation covering which areas of the business, which contract types, the percentage change, and future expectations. All four elements </w:t>
            </w:r>
            <w:proofErr w:type="gramStart"/>
            <w:r>
              <w:rPr>
                <w:color w:val="1A1A1A"/>
                <w:sz w:val="18"/>
                <w:szCs w:val="18"/>
              </w:rPr>
              <w:t>grounded</w:t>
            </w:r>
            <w:proofErr w:type="gramEnd"/>
            <w:r>
              <w:rPr>
                <w:color w:val="1A1A1A"/>
                <w:sz w:val="18"/>
                <w:szCs w:val="18"/>
              </w:rPr>
              <w:t xml:space="preserve"> in guidance.  **Q3.5b (if stable</w:t>
            </w:r>
            <w:proofErr w:type="gramStart"/>
            <w:r>
              <w:rPr>
                <w:color w:val="1A1A1A"/>
                <w:sz w:val="18"/>
                <w:szCs w:val="18"/>
              </w:rPr>
              <w:t>):*</w:t>
            </w:r>
            <w:proofErr w:type="gramEnd"/>
            <w:r>
              <w:rPr>
                <w:color w:val="1A1A1A"/>
                <w:sz w:val="18"/>
                <w:szCs w:val="18"/>
              </w:rPr>
              <w:t>* 150-word explanation covering any expectations or plans for future change and why.  OR-then-AND: Scores 0–3 driven primarily by Q3.3. Scores 4–5 require AND across Q3.3 + Q3.4 + Q3.5 follow-up.  Primary evidence: Q3.3 coverage completeness and methodology, Q3.4 completeness or confirmed zeros, Q3.5 dropdown + numeric completion, and quality of Q3.5a/Q3.5b explanation.</w:t>
            </w:r>
          </w:p>
        </w:tc>
      </w:tr>
    </w:tbl>
    <w:p w14:paraId="5DAB6C7B" w14:textId="77777777" w:rsidR="001109A1" w:rsidRDefault="001109A1">
      <w:pPr>
        <w:pBdr>
          <w:bottom w:val="single" w:sz="4" w:space="1" w:color="D9D9D9"/>
        </w:pBdr>
        <w:spacing w:before="240" w:after="240"/>
      </w:pPr>
    </w:p>
    <w:p w14:paraId="6E9172E9" w14:textId="77777777" w:rsidR="001109A1" w:rsidRDefault="00304504">
      <w:pPr>
        <w:pStyle w:val="Heading1"/>
        <w:spacing w:before="360" w:after="160"/>
      </w:pPr>
      <w:r>
        <w:rPr>
          <w:b/>
          <w:bCs/>
          <w:color w:val="1F3864"/>
          <w:sz w:val="34"/>
          <w:szCs w:val="34"/>
        </w:rPr>
        <w:t>3. Scoring Rubric — All Dimensions</w:t>
      </w:r>
    </w:p>
    <w:p w14:paraId="5A66EA4A" w14:textId="77777777" w:rsidR="001109A1" w:rsidRDefault="00304504">
      <w:pPr>
        <w:spacing w:before="80" w:after="80"/>
      </w:pPr>
      <w:r>
        <w:rPr>
          <w:color w:val="1A1A1A"/>
        </w:rPr>
        <w:t>The table below presents scoring criteria for the Awareness dimension. This topic uses all six score levels (0–5) because the five contributing questions create a genuine continuum from no data to comprehensive workforce visibility with meaningful intermediate steps.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4"/>
        <w:gridCol w:w="3644"/>
        <w:gridCol w:w="2708"/>
      </w:tblGrid>
      <w:tr w:rsidR="001109A1" w14:paraId="09CC2D0F" w14:textId="77777777" w:rsidTr="475EDD22">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1109A1" w:rsidRDefault="00304504">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1109A1" w:rsidRDefault="00304504">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1109A1" w:rsidRDefault="00304504">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1109A1" w:rsidRDefault="00304504">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1109A1" w:rsidRDefault="00304504">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1109A1" w:rsidRDefault="00304504">
            <w:pPr>
              <w:jc w:val="center"/>
            </w:pPr>
            <w:r>
              <w:rPr>
                <w:b/>
                <w:bCs/>
                <w:color w:val="FFFFFF"/>
                <w:sz w:val="15"/>
                <w:szCs w:val="15"/>
              </w:rPr>
              <w:t>Next Step</w:t>
            </w:r>
          </w:p>
        </w:tc>
      </w:tr>
      <w:tr w:rsidR="001109A1" w14:paraId="66B0B955"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B2B7304" w14:textId="77777777" w:rsidR="001109A1" w:rsidRDefault="00304504">
            <w:pPr>
              <w:spacing w:before="20" w:after="20"/>
              <w:jc w:val="center"/>
            </w:pPr>
            <w:r>
              <w:rPr>
                <w:b/>
                <w:bCs/>
                <w:color w:val="1A1A1A"/>
                <w:sz w:val="17"/>
                <w:szCs w:val="17"/>
              </w:rPr>
              <w:t>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1109A1" w:rsidRDefault="0030450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1109A1" w:rsidRDefault="00304504">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CE694D" w14:textId="77777777" w:rsidR="001109A1" w:rsidRDefault="00304504">
            <w:pPr>
              <w:spacing w:before="20" w:after="20"/>
            </w:pPr>
            <w:r>
              <w:rPr>
                <w:color w:val="1A1A1A"/>
                <w:sz w:val="18"/>
                <w:szCs w:val="18"/>
              </w:rPr>
              <w:t>Q3.3 is entirely blank (no numbers or percentages for any contract type). Q3.4 is blank. Q3.5 is unanswered. The company provides no visibility into its workforce structure by contract type.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94C9262" w14:textId="77777777" w:rsidR="001109A1" w:rsidRDefault="475EDD22">
            <w:pPr>
              <w:spacing w:before="20" w:after="20"/>
            </w:pPr>
            <w:r w:rsidRPr="475EDD22">
              <w:rPr>
                <w:i/>
                <w:iCs/>
                <w:color w:val="1A1A1A"/>
                <w:sz w:val="17"/>
                <w:szCs w:val="17"/>
              </w:rPr>
              <w:t>Provide at minimum the number and percentage for the company’s primary contract type in Q3.3 (typically Full-time/permanent employees) as a starting point.</w:t>
            </w:r>
          </w:p>
        </w:tc>
      </w:tr>
      <w:tr w:rsidR="001109A1" w14:paraId="50194BD5"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9009E4" w14:textId="77777777" w:rsidR="001109A1" w:rsidRDefault="00304504">
            <w:pPr>
              <w:spacing w:before="20" w:after="20"/>
              <w:jc w:val="center"/>
            </w:pPr>
            <w:r>
              <w:rPr>
                <w:b/>
                <w:bCs/>
                <w:color w:val="1A1A1A"/>
                <w:sz w:val="17"/>
                <w:szCs w:val="17"/>
              </w:rPr>
              <w:t>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1109A1" w:rsidRDefault="0030450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1109A1" w:rsidRDefault="00304504">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76A2722" w14:textId="77777777" w:rsidR="001109A1" w:rsidRDefault="475EDD22">
            <w:pPr>
              <w:spacing w:before="20" w:after="20"/>
            </w:pPr>
            <w:r w:rsidRPr="475EDD22">
              <w:rPr>
                <w:color w:val="1A1A1A"/>
                <w:sz w:val="18"/>
                <w:szCs w:val="18"/>
              </w:rPr>
              <w:t>OR logic. Q3.3 has at least one row with data, but with significant gaps that leave the overall workforce picture unclear: data for only one contract type without indicating whether other types exist; OR only a number without a percentage (making it impossible to assess share of workforce); OR no methodology note and domestic scope only. Q3.4 is blank with no explanation. Q3.5 may be answered but Q3.5a/Q3.5b is absent or one line only.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77BA756" w14:textId="77777777" w:rsidR="001109A1" w:rsidRDefault="475EDD22">
            <w:pPr>
              <w:spacing w:before="20" w:after="20"/>
            </w:pPr>
            <w:r w:rsidRPr="475EDD22">
              <w:rPr>
                <w:i/>
                <w:iCs/>
                <w:color w:val="1A1A1A"/>
                <w:sz w:val="17"/>
                <w:szCs w:val="17"/>
              </w:rPr>
              <w:t>Provide both numbers AND percentages in Q3.3 for each contract type that exists in the company’s workforce. Enter zero for types that genuinely do not apply rather than leaving blank. Add at least a brief methodology note explaining how the data was compiled.</w:t>
            </w:r>
          </w:p>
        </w:tc>
      </w:tr>
      <w:tr w:rsidR="001109A1" w14:paraId="6B076F52"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2124560" w14:textId="77777777" w:rsidR="001109A1" w:rsidRDefault="00304504">
            <w:pPr>
              <w:spacing w:before="20" w:after="20"/>
              <w:jc w:val="center"/>
            </w:pPr>
            <w:r>
              <w:rPr>
                <w:b/>
                <w:bCs/>
                <w:color w:val="1A1A1A"/>
                <w:sz w:val="17"/>
                <w:szCs w:val="17"/>
              </w:rPr>
              <w:t>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8F999B5" w14:textId="77777777" w:rsidR="001109A1" w:rsidRDefault="00304504">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042996F" w14:textId="77777777" w:rsidR="001109A1" w:rsidRDefault="00304504">
            <w:pPr>
              <w:spacing w:before="20" w:after="20"/>
            </w:pPr>
            <w:r>
              <w:rPr>
                <w:i/>
                <w:iCs/>
                <w:color w:val="1A1A1A"/>
                <w:sz w:val="17"/>
                <w:szCs w:val="17"/>
              </w:rPr>
              <w:t>Basic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7851168" w14:textId="77777777" w:rsidR="001109A1" w:rsidRDefault="475EDD22">
            <w:pPr>
              <w:spacing w:before="20" w:after="20"/>
            </w:pPr>
            <w:r w:rsidRPr="475EDD22">
              <w:rPr>
                <w:color w:val="1A1A1A"/>
                <w:sz w:val="18"/>
                <w:szCs w:val="18"/>
              </w:rPr>
              <w:t xml:space="preserve">OR logic. Q3.3 covers the company’s main contract types with numbers and some percentages, but coverage is materially incomplete (percentages do not collectively sum to the full workforce, or scope is domestic/HQ only without </w:t>
            </w:r>
            <w:r w:rsidRPr="475EDD22">
              <w:rPr>
                <w:color w:val="1A1A1A"/>
                <w:sz w:val="18"/>
                <w:szCs w:val="18"/>
              </w:rPr>
              <w:lastRenderedPageBreak/>
              <w:t xml:space="preserve">explanation) and methodology notes are absent or very generic. Q3.4 may be partially addressed or blank. Q3.5 is answered with dropdown </w:t>
            </w:r>
            <w:proofErr w:type="gramStart"/>
            <w:r w:rsidRPr="475EDD22">
              <w:rPr>
                <w:color w:val="1A1A1A"/>
                <w:sz w:val="18"/>
                <w:szCs w:val="18"/>
              </w:rPr>
              <w:t>selection</w:t>
            </w:r>
            <w:proofErr w:type="gramEnd"/>
            <w:r w:rsidRPr="475EDD22">
              <w:rPr>
                <w:color w:val="1A1A1A"/>
                <w:sz w:val="18"/>
                <w:szCs w:val="18"/>
              </w:rPr>
              <w:t xml:space="preserve"> but the numeric % change field may be absent, and Q3.5a/Q3.5b provides only a basic explanation without specifying which areas or contract types were affected.</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59F3C6D" w14:textId="77777777" w:rsidR="001109A1" w:rsidRDefault="475EDD22">
            <w:pPr>
              <w:spacing w:before="20" w:after="20"/>
            </w:pPr>
            <w:r w:rsidRPr="475EDD22">
              <w:rPr>
                <w:i/>
                <w:iCs/>
                <w:color w:val="1A1A1A"/>
                <w:sz w:val="17"/>
                <w:szCs w:val="17"/>
              </w:rPr>
              <w:lastRenderedPageBreak/>
              <w:t xml:space="preserve">Ensure Q3.3 percentages collectively account for 100% (or close) of the direct operations workforce. Add methodology notes describing how each contract type is defined and the </w:t>
            </w:r>
            <w:r w:rsidRPr="475EDD22">
              <w:rPr>
                <w:i/>
                <w:iCs/>
                <w:color w:val="1A1A1A"/>
                <w:sz w:val="17"/>
                <w:szCs w:val="17"/>
              </w:rPr>
              <w:lastRenderedPageBreak/>
              <w:t>calculation base used. Address Q3.4 for applicable non-employee worker types. Complete the Q3.5 numeric field and add specificity to Q3.5a or Q3.5b.</w:t>
            </w:r>
          </w:p>
        </w:tc>
      </w:tr>
      <w:tr w:rsidR="001109A1" w14:paraId="6A787E4F"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4BD2DED" w14:textId="77777777" w:rsidR="001109A1" w:rsidRDefault="00304504">
            <w:pPr>
              <w:spacing w:before="20" w:after="20"/>
              <w:jc w:val="center"/>
            </w:pPr>
            <w:r>
              <w:rPr>
                <w:b/>
                <w:bCs/>
                <w:color w:val="1A1A1A"/>
                <w:sz w:val="17"/>
                <w:szCs w:val="17"/>
              </w:rPr>
              <w:lastRenderedPageBreak/>
              <w:t>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FCD5EC4" w14:textId="77777777" w:rsidR="001109A1" w:rsidRDefault="00304504">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ABDA75E" w14:textId="77777777" w:rsidR="001109A1" w:rsidRDefault="00304504">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901DC4" w14:textId="77777777" w:rsidR="001109A1" w:rsidRDefault="475EDD22">
            <w:pPr>
              <w:spacing w:before="20" w:after="20"/>
            </w:pPr>
            <w:r w:rsidRPr="475EDD22">
              <w:rPr>
                <w:color w:val="1A1A1A"/>
                <w:sz w:val="18"/>
                <w:szCs w:val="18"/>
              </w:rPr>
              <w:t>OR logic. Q3.3 is substantially complete for the company’s applicable contract types: both numbers and percentages provided for applicable types (with zeros or N/A for non-applicable types); at least a clear methodology note present for the main contract types; and scope covers more than domestic/HQ only. Q3.4 is partially addressed (applicable types reported or confirmed as zero/N/A). Q3.5 is answered with both dropdown and numeric field completed. Q3.5a or Q3.5b provides a clear explanation identifying at least the primary affected area or contract type and a forward-looking statement. Strong Q3.3 alone can reach this level even if Q3.4 or Q3.5 follow-up is thin.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CF6FBFF" w14:textId="77777777" w:rsidR="001109A1" w:rsidRDefault="00304504">
            <w:pPr>
              <w:spacing w:before="20" w:after="20"/>
            </w:pPr>
            <w:r>
              <w:rPr>
                <w:i/>
                <w:iCs/>
                <w:color w:val="1A1A1A"/>
                <w:sz w:val="17"/>
                <w:szCs w:val="17"/>
              </w:rPr>
              <w:t>For AND at scores 4–5: strengthen Q3.4 to cover all applicable non-employee types with both numbers and percentages; improve methodology notes to include contract type definitions; expand Q3.5a or Q3.5b to address all guidance elements (which areas, which contract types, % change, future expectation for Q3.5a; or future plans/expectations with reasoning for Q3.5b).</w:t>
            </w:r>
          </w:p>
        </w:tc>
      </w:tr>
      <w:tr w:rsidR="001109A1" w14:paraId="2708D7C1"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2DC4293" w14:textId="77777777" w:rsidR="001109A1" w:rsidRDefault="00304504">
            <w:pPr>
              <w:spacing w:before="20" w:after="20"/>
              <w:jc w:val="center"/>
            </w:pPr>
            <w:r>
              <w:rPr>
                <w:b/>
                <w:bCs/>
                <w:color w:val="1A1A1A"/>
                <w:sz w:val="17"/>
                <w:szCs w:val="17"/>
              </w:rPr>
              <w:t>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2E97A2"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598DEE6" w14:textId="77777777" w:rsidR="001109A1" w:rsidRDefault="00304504">
            <w:pPr>
              <w:spacing w:before="20" w:after="20"/>
              <w:jc w:val="center"/>
            </w:pPr>
            <w:r>
              <w:rPr>
                <w:b/>
                <w:bCs/>
                <w:color w:val="1A1A1A"/>
                <w:sz w:val="19"/>
                <w:szCs w:val="19"/>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51A27D9" w14:textId="77777777" w:rsidR="001109A1" w:rsidRDefault="00304504">
            <w:pPr>
              <w:spacing w:before="20" w:after="20"/>
            </w:pPr>
            <w:r>
              <w:rPr>
                <w:i/>
                <w:iCs/>
                <w:color w:val="1A1A1A"/>
                <w:sz w:val="17"/>
                <w:szCs w:val="17"/>
              </w:rPr>
              <w:t>Strong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8C1290D" w14:textId="77777777" w:rsidR="001109A1" w:rsidRDefault="475EDD22">
            <w:pPr>
              <w:spacing w:before="20" w:after="20"/>
            </w:pPr>
            <w:r w:rsidRPr="475EDD22">
              <w:rPr>
                <w:color w:val="1A1A1A"/>
                <w:sz w:val="18"/>
                <w:szCs w:val="18"/>
              </w:rPr>
              <w:t xml:space="preserve">AND logic begins. Q3.3 AND Q3.4 AND Q3.5/Q3.5a or Q3.5b must all independently reach this standard. Q3.3: all applicable contract types reported with numbers, percentages, and methodology notes (including contract type definition and calculation base), with scope covering all significant operating locations or </w:t>
            </w:r>
            <w:proofErr w:type="gramStart"/>
            <w:r w:rsidRPr="475EDD22">
              <w:rPr>
                <w:color w:val="1A1A1A"/>
                <w:sz w:val="18"/>
                <w:szCs w:val="18"/>
              </w:rPr>
              <w:t>the majority of</w:t>
            </w:r>
            <w:proofErr w:type="gramEnd"/>
            <w:r w:rsidRPr="475EDD22">
              <w:rPr>
                <w:color w:val="1A1A1A"/>
                <w:sz w:val="18"/>
                <w:szCs w:val="18"/>
              </w:rPr>
              <w:t xml:space="preserve"> the direct operations workforce. Q3.4: all applicable non-employee types reported with numbers and percentages; non-applicable types confirmed as zero or N/A. Q3.5: both dropdown and numeric field completed; Q3.5a or Q3.5b provides a substantive explanation covering the main guidance elements with named business areas or contract types.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DCFAC4" w14:textId="77777777" w:rsidR="001109A1" w:rsidRDefault="475EDD22">
            <w:pPr>
              <w:spacing w:before="20" w:after="20"/>
            </w:pPr>
            <w:r w:rsidRPr="475EDD22">
              <w:rPr>
                <w:i/>
                <w:iCs/>
                <w:color w:val="1A1A1A"/>
                <w:sz w:val="17"/>
                <w:szCs w:val="17"/>
              </w:rPr>
              <w:t xml:space="preserve">Extend Q3.3 scope toward 100% of the direct operations workforce if not already there. Ensure Q3.5a addresses all four guidance elements (which areas, which contract types, % change, future expectation) or Q3.5b addresses </w:t>
            </w:r>
            <w:proofErr w:type="gramStart"/>
            <w:r w:rsidRPr="475EDD22">
              <w:rPr>
                <w:i/>
                <w:iCs/>
                <w:color w:val="1A1A1A"/>
                <w:sz w:val="17"/>
                <w:szCs w:val="17"/>
              </w:rPr>
              <w:t>future plans</w:t>
            </w:r>
            <w:proofErr w:type="gramEnd"/>
            <w:r w:rsidRPr="475EDD22">
              <w:rPr>
                <w:i/>
                <w:iCs/>
                <w:color w:val="1A1A1A"/>
                <w:sz w:val="17"/>
                <w:szCs w:val="17"/>
              </w:rPr>
              <w:t xml:space="preserve"> with clear reasoning.</w:t>
            </w:r>
          </w:p>
        </w:tc>
      </w:tr>
      <w:tr w:rsidR="001109A1" w14:paraId="2FEF24CB" w14:textId="77777777" w:rsidTr="475EDD22">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391D46B" w14:textId="77777777" w:rsidR="001109A1" w:rsidRDefault="00304504">
            <w:pPr>
              <w:spacing w:before="20" w:after="20"/>
              <w:jc w:val="center"/>
            </w:pPr>
            <w:r>
              <w:rPr>
                <w:b/>
                <w:bCs/>
                <w:color w:val="1A1A1A"/>
                <w:sz w:val="17"/>
                <w:szCs w:val="17"/>
              </w:rPr>
              <w:t>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2043BB" w14:textId="77777777" w:rsidR="001109A1" w:rsidRDefault="0030450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1109A1" w:rsidRDefault="0030450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1109A1" w:rsidRDefault="00304504">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925B46" w14:textId="77777777" w:rsidR="001109A1" w:rsidRDefault="475EDD22">
            <w:pPr>
              <w:spacing w:before="20" w:after="20"/>
            </w:pPr>
            <w:r w:rsidRPr="475EDD22">
              <w:rPr>
                <w:color w:val="1A1A1A"/>
                <w:sz w:val="18"/>
                <w:szCs w:val="18"/>
              </w:rPr>
              <w:t xml:space="preserve">AND logic. Q3.3, Q3.4, and Q3.5 follow-up must all independently meet the leading standard. Q3.3: all applicable contract types with numbers and percentages summing to ~100% of the direct operations workforce; methodology notes present for each type explaining the company’s definition and calculation base; scope covering the full direct operations workforce or all significant operating locations; non-applicable types confirmed as zero. Q3.4: all applicable non-employee types with numbers and percentages; non-applicable types confirmed as zero or N/A; scope stated. Q3.5: both dropdown and numeric field </w:t>
            </w:r>
            <w:r w:rsidRPr="475EDD22">
              <w:rPr>
                <w:color w:val="1A1A1A"/>
                <w:sz w:val="18"/>
                <w:szCs w:val="18"/>
              </w:rPr>
              <w:lastRenderedPageBreak/>
              <w:t>completed. Q3.5a (if change): addresses all four guidance elements — which areas of the business, which contract types, the percentage change including any decrease in permanent contracts, and future expectations with reasoning. Q3.5b (if stable): describes any expectations or plans for future change and the reasoning, even if no change is anticipated.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FB897C" w14:textId="77777777" w:rsidR="001109A1" w:rsidRDefault="00304504">
            <w:pPr>
              <w:spacing w:before="20" w:after="20"/>
            </w:pPr>
            <w:r>
              <w:rPr>
                <w:i/>
                <w:iCs/>
                <w:color w:val="1A1A1A"/>
                <w:sz w:val="17"/>
                <w:szCs w:val="17"/>
              </w:rPr>
              <w:lastRenderedPageBreak/>
              <w:t>Highest level achieved. Maintain comprehensive workforce data quality and transparency. Update annually as contract type distributions and contingent workforce trends evolve.</w:t>
            </w:r>
          </w:p>
        </w:tc>
      </w:tr>
    </w:tbl>
    <w:p w14:paraId="02EB378F" w14:textId="77777777" w:rsidR="001109A1" w:rsidRDefault="001109A1">
      <w:pPr>
        <w:pBdr>
          <w:bottom w:val="single" w:sz="4" w:space="1" w:color="D9D9D9"/>
        </w:pBdr>
        <w:spacing w:before="240" w:after="240"/>
      </w:pPr>
    </w:p>
    <w:p w14:paraId="0BD2FA26" w14:textId="77777777" w:rsidR="001109A1" w:rsidRDefault="00304504">
      <w:pPr>
        <w:pStyle w:val="Heading1"/>
        <w:spacing w:before="360" w:after="160"/>
      </w:pPr>
      <w:r>
        <w:rPr>
          <w:b/>
          <w:bCs/>
          <w:color w:val="1F3864"/>
          <w:sz w:val="34"/>
          <w:szCs w:val="34"/>
        </w:rPr>
        <w:t>4. Score Calculation</w:t>
      </w:r>
    </w:p>
    <w:p w14:paraId="64019AD3" w14:textId="77777777" w:rsidR="001109A1" w:rsidRDefault="00304504">
      <w:pPr>
        <w:spacing w:before="80" w:after="80"/>
      </w:pPr>
      <w:r>
        <w:rPr>
          <w:color w:val="1A1A1A"/>
        </w:rPr>
        <w:t>Since this is a single-dimension topic, the Awareness score maps directly to the composite and topic score.</w:t>
      </w:r>
    </w:p>
    <w:p w14:paraId="65FFD978" w14:textId="77777777" w:rsidR="001109A1" w:rsidRDefault="00304504">
      <w:pPr>
        <w:pStyle w:val="Heading2"/>
        <w:spacing w:before="280" w:after="120"/>
      </w:pPr>
      <w:proofErr w:type="gramStart"/>
      <w:r>
        <w:rPr>
          <w:b/>
          <w:bCs/>
          <w:color w:val="2E75B6"/>
        </w:rPr>
        <w:t>4.1  Formulas</w:t>
      </w:r>
      <w:proofErr w:type="gramEnd"/>
    </w:p>
    <w:p w14:paraId="4532CD22" w14:textId="77777777" w:rsidR="001109A1" w:rsidRDefault="00304504">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   Awareness score</w:t>
      </w:r>
    </w:p>
    <w:p w14:paraId="0FDECCF7" w14:textId="77777777" w:rsidR="001109A1" w:rsidRDefault="00304504">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Awareness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4C532EA5" w14:textId="77777777" w:rsidR="001109A1" w:rsidRDefault="00304504">
      <w:pPr>
        <w:spacing w:before="80" w:after="60"/>
      </w:pPr>
      <w:r>
        <w:rPr>
          <w:i/>
          <w:iCs/>
          <w:color w:val="666666"/>
          <w:sz w:val="17"/>
          <w:szCs w:val="17"/>
        </w:rPr>
        <w:t>With a single dimension, there is no averaging step. The Awareness score translates directly to the 0–100 scale.</w:t>
      </w:r>
    </w:p>
    <w:p w14:paraId="71DEDFB3" w14:textId="77777777" w:rsidR="001109A1" w:rsidRDefault="00304504">
      <w:pPr>
        <w:pStyle w:val="Heading2"/>
        <w:spacing w:before="280" w:after="120"/>
      </w:pPr>
      <w:proofErr w:type="gramStart"/>
      <w:r>
        <w:rPr>
          <w:b/>
          <w:bCs/>
          <w:color w:val="2E75B6"/>
        </w:rPr>
        <w:t>4.2  Worked</w:t>
      </w:r>
      <w:proofErr w:type="gramEnd"/>
      <w:r>
        <w:rPr>
          <w:b/>
          <w:bCs/>
          <w:color w:val="2E75B6"/>
        </w:rPr>
        <w:t xml:space="preserve"> Examples</w:t>
      </w:r>
    </w:p>
    <w:p w14:paraId="1B2327C2" w14:textId="77777777" w:rsidR="001109A1" w:rsidRDefault="00304504">
      <w:pPr>
        <w:spacing w:before="80" w:after="80"/>
      </w:pPr>
      <w:r>
        <w:rPr>
          <w:b/>
          <w:bCs/>
          <w:color w:val="2E75B6"/>
        </w:rPr>
        <w:t>Example A: Technology company — simple but fully transparent</w:t>
      </w:r>
    </w:p>
    <w:p w14:paraId="7444A6A3" w14:textId="77777777" w:rsidR="001109A1" w:rsidRDefault="00304504">
      <w:pPr>
        <w:spacing w:before="80" w:after="80"/>
      </w:pPr>
      <w:r>
        <w:rPr>
          <w:color w:val="1A1A1A"/>
        </w:rPr>
        <w:t>A technology company with 2,400 employees responds as follows:</w:t>
      </w:r>
    </w:p>
    <w:p w14:paraId="467B763A" w14:textId="77777777" w:rsidR="001109A1" w:rsidRDefault="00304504">
      <w:pPr>
        <w:spacing w:before="80" w:after="80"/>
      </w:pPr>
      <w:r>
        <w:rPr>
          <w:color w:val="1A1A1A"/>
          <w:sz w:val="19"/>
          <w:szCs w:val="19"/>
        </w:rPr>
        <w:t xml:space="preserve">Q3.3: Full-time/permanent: 2,280 employees, 95.0%, methodology: “Data from Workday HRIS as of 31 Dec 2025. Permanent = indefinite-duration contracts under UK Employment Rights Act 1996 and US FLSA classifications.” Scope: all direct operations workforce. </w:t>
      </w:r>
      <w:proofErr w:type="gramStart"/>
      <w:r>
        <w:rPr>
          <w:color w:val="1A1A1A"/>
          <w:sz w:val="19"/>
          <w:szCs w:val="19"/>
        </w:rPr>
        <w:t>Fixed-term</w:t>
      </w:r>
      <w:proofErr w:type="gramEnd"/>
      <w:r>
        <w:rPr>
          <w:color w:val="1A1A1A"/>
          <w:sz w:val="19"/>
          <w:szCs w:val="19"/>
        </w:rPr>
        <w:t>/temporary: 120 employees, 5.0%, same methodology. Scope: all direct operations. Part-time: 0, 0.0%. Non-guaranteed hours: 0, 0.0%. Total: 100%.</w:t>
      </w:r>
    </w:p>
    <w:p w14:paraId="15BFBD65" w14:textId="77777777" w:rsidR="001109A1" w:rsidRDefault="00304504">
      <w:pPr>
        <w:spacing w:before="80" w:after="80"/>
      </w:pPr>
      <w:r>
        <w:rPr>
          <w:color w:val="1A1A1A"/>
          <w:sz w:val="19"/>
          <w:szCs w:val="19"/>
        </w:rPr>
        <w:t>Q3.4: Contractors (independent): 85 workers, 3.4% of total workforce. Agency workers: 0, confirmed N/A. Franchisee workers: 0, confirmed N/A. Third party on site: 0, confirmed N/A. Scope: all direct operations.</w:t>
      </w:r>
    </w:p>
    <w:p w14:paraId="51692C4B" w14:textId="77777777" w:rsidR="001109A1" w:rsidRDefault="00304504">
      <w:pPr>
        <w:spacing w:before="80" w:after="80"/>
      </w:pPr>
      <w:r>
        <w:rPr>
          <w:color w:val="1A1A1A"/>
          <w:sz w:val="19"/>
          <w:szCs w:val="19"/>
        </w:rPr>
        <w:t>Q3.5: Remained broadly stable (change below 2%). % change: 0.3%. Q3.5b: “The proportion of fixed-term employees has remained stable at approximately 5% for three consecutive years, reflecting a deliberate policy of converting project-based roles to permanent positions after 12 months. No material change in contingent worker composition is anticipated for the 2026 reporting period.”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109A1" w14:paraId="34392AC8"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1109A1" w:rsidRDefault="0030450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1109A1" w:rsidRDefault="0030450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1109A1" w:rsidRDefault="00304504">
            <w:pPr>
              <w:jc w:val="center"/>
            </w:pPr>
            <w:r>
              <w:rPr>
                <w:b/>
                <w:bCs/>
                <w:color w:val="FFFFFF"/>
                <w:sz w:val="16"/>
                <w:szCs w:val="16"/>
              </w:rPr>
              <w:t>Calculation</w:t>
            </w:r>
          </w:p>
        </w:tc>
      </w:tr>
      <w:tr w:rsidR="001109A1" w14:paraId="366F1B20"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E1CD5F5" w14:textId="77777777" w:rsidR="001109A1" w:rsidRDefault="00304504">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F5AFB66" w14:textId="77777777" w:rsidR="001109A1" w:rsidRDefault="00304504">
            <w:pPr>
              <w:spacing w:before="20" w:after="20"/>
            </w:pPr>
            <w:r>
              <w:rPr>
                <w:color w:val="1A1A1A"/>
                <w:sz w:val="18"/>
                <w:szCs w:val="18"/>
              </w:rPr>
              <w:t>5 (</w:t>
            </w:r>
            <w:proofErr w:type="gramStart"/>
            <w:r>
              <w:rPr>
                <w:color w:val="1A1A1A"/>
                <w:sz w:val="18"/>
                <w:szCs w:val="18"/>
              </w:rPr>
              <w:t>Leading) —</w:t>
            </w:r>
            <w:proofErr w:type="gramEnd"/>
            <w:r>
              <w:rPr>
                <w:color w:val="1A1A1A"/>
                <w:sz w:val="18"/>
                <w:szCs w:val="18"/>
              </w:rPr>
              <w:t xml:space="preserve"> AND satisfied across all three question groups. Q3.3: all 4 rows addressed with numbers, percentages summing to 100%, methodology including contract definition and legal framework reference, broad scope. Q3.4: all 4 rows addressed, 3 confirmed as N/A. Q3.5: dropdown + numeric both completed. Q3.5b: addresses future expectation with reasoning (3-year stability, policy rationale, 2026 projection). Simple workforce structure does not </w:t>
            </w:r>
            <w:proofErr w:type="spellStart"/>
            <w:r>
              <w:rPr>
                <w:color w:val="1A1A1A"/>
                <w:sz w:val="18"/>
                <w:szCs w:val="18"/>
              </w:rPr>
              <w:t>penalise</w:t>
            </w:r>
            <w:proofErr w:type="spellEnd"/>
            <w:r>
              <w:rPr>
                <w:color w:val="1A1A1A"/>
                <w:sz w:val="18"/>
                <w:szCs w:val="18"/>
              </w:rPr>
              <w:t xml:space="preserve"> the company — confirmed zeros are better than blank rows.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1109A1" w:rsidRDefault="001109A1">
            <w:pPr>
              <w:spacing w:before="20" w:after="20"/>
            </w:pPr>
          </w:p>
        </w:tc>
      </w:tr>
      <w:tr w:rsidR="001109A1" w14:paraId="47A69B54"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1109A1" w:rsidRDefault="0030450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0A23467" w14:textId="77777777" w:rsidR="001109A1" w:rsidRDefault="00304504">
            <w:pPr>
              <w:spacing w:before="20" w:after="20"/>
            </w:pPr>
            <w:r>
              <w:rPr>
                <w:b/>
                <w:bCs/>
                <w:color w:val="1A1A1A"/>
                <w:sz w:val="19"/>
                <w:szCs w:val="19"/>
              </w:rPr>
              <w:t>Awareness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28C2E8E" w14:textId="77777777" w:rsidR="001109A1" w:rsidRDefault="00304504">
            <w:pPr>
              <w:spacing w:before="20" w:after="20"/>
            </w:pPr>
            <w:r>
              <w:rPr>
                <w:b/>
                <w:bCs/>
                <w:color w:val="1A1A1A"/>
                <w:sz w:val="19"/>
                <w:szCs w:val="19"/>
              </w:rPr>
              <w:t>Topic Score = 5 × 20 = 100 / 100</w:t>
            </w:r>
          </w:p>
        </w:tc>
      </w:tr>
    </w:tbl>
    <w:p w14:paraId="3C052D5A" w14:textId="77777777" w:rsidR="001109A1" w:rsidRDefault="00304504">
      <w:pPr>
        <w:spacing w:before="80" w:after="60"/>
      </w:pPr>
      <w:r>
        <w:rPr>
          <w:i/>
          <w:iCs/>
          <w:color w:val="666666"/>
          <w:sz w:val="17"/>
          <w:szCs w:val="17"/>
        </w:rPr>
        <w:t>Full marks with only 2 active contract types. Confirmed zeros for non-applicable types, detailed methodology notes, and a substantive Q3.5b response all contribute to complete, unambiguous workforce visibility.</w:t>
      </w:r>
    </w:p>
    <w:p w14:paraId="66E02FD1" w14:textId="77777777" w:rsidR="001109A1" w:rsidRDefault="00304504">
      <w:pPr>
        <w:spacing w:before="240" w:after="80"/>
      </w:pPr>
      <w:r>
        <w:rPr>
          <w:b/>
          <w:bCs/>
          <w:color w:val="2E75B6"/>
        </w:rPr>
        <w:lastRenderedPageBreak/>
        <w:t>Example B: Manufacturing company — partial reporting with gaps</w:t>
      </w:r>
    </w:p>
    <w:p w14:paraId="109490B9" w14:textId="77777777" w:rsidR="001109A1" w:rsidRDefault="00304504">
      <w:pPr>
        <w:spacing w:before="80" w:after="80"/>
      </w:pPr>
      <w:r>
        <w:rPr>
          <w:color w:val="1A1A1A"/>
        </w:rPr>
        <w:t>A manufacturing company with 22,000 employees responds as follows:</w:t>
      </w:r>
    </w:p>
    <w:p w14:paraId="6DD5B114" w14:textId="77777777" w:rsidR="001109A1" w:rsidRDefault="00304504">
      <w:pPr>
        <w:spacing w:before="80" w:after="80"/>
      </w:pPr>
      <w:r>
        <w:rPr>
          <w:color w:val="1A1A1A"/>
          <w:sz w:val="19"/>
          <w:szCs w:val="19"/>
        </w:rPr>
        <w:t xml:space="preserve">Q3.3: Full-time/permanent: 18,500 employees, 84.1%, no methodology, scope: domestic/HQ only. </w:t>
      </w:r>
      <w:proofErr w:type="gramStart"/>
      <w:r>
        <w:rPr>
          <w:color w:val="1A1A1A"/>
          <w:sz w:val="19"/>
          <w:szCs w:val="19"/>
        </w:rPr>
        <w:t>Fixed-term</w:t>
      </w:r>
      <w:proofErr w:type="gramEnd"/>
      <w:r>
        <w:rPr>
          <w:color w:val="1A1A1A"/>
          <w:sz w:val="19"/>
          <w:szCs w:val="19"/>
        </w:rPr>
        <w:t>/temporary: 2,100 employees, 9.5%, no methodology, scope: domestic/HQ only. Part-time: blank. Non-guaranteed hours: blank. Total reported: 93.6%.</w:t>
      </w:r>
    </w:p>
    <w:p w14:paraId="28D71592" w14:textId="77777777" w:rsidR="001109A1" w:rsidRDefault="00304504">
      <w:pPr>
        <w:spacing w:before="80" w:after="80"/>
      </w:pPr>
      <w:r>
        <w:rPr>
          <w:color w:val="1A1A1A"/>
          <w:sz w:val="19"/>
          <w:szCs w:val="19"/>
        </w:rPr>
        <w:t>Q3.4: Entirely blank.</w:t>
      </w:r>
    </w:p>
    <w:p w14:paraId="6000E7BD" w14:textId="77777777" w:rsidR="001109A1" w:rsidRDefault="00304504">
      <w:pPr>
        <w:spacing w:before="80" w:after="80"/>
      </w:pPr>
      <w:r>
        <w:rPr>
          <w:color w:val="1A1A1A"/>
          <w:sz w:val="19"/>
          <w:szCs w:val="19"/>
        </w:rPr>
        <w:t>Q3.5: Increased moderately by 2–5%. Numeric field: blank. Q3.5a: “We have seen an increase in temporary workers.”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1109A1" w14:paraId="2B1DB986"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1109A1" w:rsidRDefault="0030450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1109A1" w:rsidRDefault="0030450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1109A1" w:rsidRDefault="00304504">
            <w:pPr>
              <w:jc w:val="center"/>
            </w:pPr>
            <w:r>
              <w:rPr>
                <w:b/>
                <w:bCs/>
                <w:color w:val="FFFFFF"/>
                <w:sz w:val="16"/>
                <w:szCs w:val="16"/>
              </w:rPr>
              <w:t>Calculation</w:t>
            </w:r>
          </w:p>
        </w:tc>
      </w:tr>
      <w:tr w:rsidR="001109A1" w14:paraId="06993604"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B9825A4" w14:textId="77777777" w:rsidR="001109A1" w:rsidRDefault="00304504">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117C0D6" w14:textId="77777777" w:rsidR="001109A1" w:rsidRDefault="00304504">
            <w:pPr>
              <w:spacing w:before="20" w:after="20"/>
            </w:pPr>
            <w:r>
              <w:rPr>
                <w:color w:val="1A1A1A"/>
                <w:sz w:val="18"/>
                <w:szCs w:val="18"/>
              </w:rPr>
              <w:t>2 (</w:t>
            </w:r>
            <w:proofErr w:type="gramStart"/>
            <w:r>
              <w:rPr>
                <w:color w:val="1A1A1A"/>
                <w:sz w:val="18"/>
                <w:szCs w:val="18"/>
              </w:rPr>
              <w:t>Basic) —</w:t>
            </w:r>
            <w:proofErr w:type="gramEnd"/>
            <w:r>
              <w:rPr>
                <w:color w:val="1A1A1A"/>
                <w:sz w:val="18"/>
                <w:szCs w:val="18"/>
              </w:rPr>
              <w:t xml:space="preserve"> Q3.3 covers 2 of 4 contract types with numbers and percentages, but percentages sum to only 93.6% (6.4% unaccounted), scope is domestic/HQ only (inadequate for a 22,000-person company), and no methodology is provided. Part-time and non-guaranteed hours rows are blank — unclear if genuinely absent or omitted. Q3.4 is entirely blank with no confirmed zeros. Q3.5 dropdown is completed but numeric field is blank. Q3.5a provides one vague sentence with no area, no contract type specificity, and no future expectation. AND for scores 4-5 fails on all three question groups.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A39BBE3" w14:textId="77777777" w:rsidR="001109A1" w:rsidRDefault="001109A1">
            <w:pPr>
              <w:spacing w:before="20" w:after="20"/>
            </w:pPr>
          </w:p>
        </w:tc>
      </w:tr>
      <w:tr w:rsidR="001109A1" w14:paraId="38A18CD2"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1109A1" w:rsidRDefault="0030450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1FB54D1" w14:textId="77777777" w:rsidR="001109A1" w:rsidRDefault="00304504">
            <w:pPr>
              <w:spacing w:before="20" w:after="20"/>
            </w:pPr>
            <w:r>
              <w:rPr>
                <w:b/>
                <w:bCs/>
                <w:color w:val="1A1A1A"/>
                <w:sz w:val="19"/>
                <w:szCs w:val="19"/>
              </w:rPr>
              <w:t>Awareness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214A22" w14:textId="77777777" w:rsidR="001109A1" w:rsidRDefault="00304504">
            <w:pPr>
              <w:spacing w:before="20" w:after="20"/>
            </w:pPr>
            <w:r>
              <w:rPr>
                <w:b/>
                <w:bCs/>
                <w:color w:val="1A1A1A"/>
                <w:sz w:val="19"/>
                <w:szCs w:val="19"/>
              </w:rPr>
              <w:t>Topic Score = 2 × 20 = 40 / 100</w:t>
            </w:r>
          </w:p>
        </w:tc>
      </w:tr>
    </w:tbl>
    <w:p w14:paraId="45EC8909" w14:textId="77777777" w:rsidR="001109A1" w:rsidRDefault="00304504">
      <w:pPr>
        <w:spacing w:before="80" w:after="60"/>
      </w:pPr>
      <w:r>
        <w:rPr>
          <w:i/>
          <w:iCs/>
          <w:color w:val="666666"/>
          <w:sz w:val="17"/>
          <w:szCs w:val="17"/>
        </w:rPr>
        <w:t>Key gaps: 6.4% of the workforce is unaccounted for; scope is domestic only for a large multinational; Part-time and non-guaranteed hours rows are blank without confirmed zeros; Q3.4 entirely missing; Q3.5 numeric field blank; Q3.5a has no specificity. Each of these gaps has a clear, simple fix.</w:t>
      </w:r>
    </w:p>
    <w:sectPr w:rsidR="001109A1">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A2A3" w14:textId="77777777" w:rsidR="00F717C4" w:rsidRDefault="00F717C4" w:rsidP="00321770">
      <w:r>
        <w:separator/>
      </w:r>
    </w:p>
  </w:endnote>
  <w:endnote w:type="continuationSeparator" w:id="0">
    <w:p w14:paraId="0AE31C95" w14:textId="77777777" w:rsidR="00F717C4" w:rsidRDefault="00F717C4" w:rsidP="0032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FEB94" w14:textId="77777777" w:rsidR="00321770" w:rsidRDefault="00321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89F2" w14:textId="77777777" w:rsidR="00321770" w:rsidRDefault="00321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2EE6" w14:textId="77777777" w:rsidR="00321770" w:rsidRDefault="00321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3F57" w14:textId="77777777" w:rsidR="00F717C4" w:rsidRDefault="00F717C4" w:rsidP="00321770">
      <w:r>
        <w:separator/>
      </w:r>
    </w:p>
  </w:footnote>
  <w:footnote w:type="continuationSeparator" w:id="0">
    <w:p w14:paraId="3CC3BC66" w14:textId="77777777" w:rsidR="00F717C4" w:rsidRDefault="00F717C4" w:rsidP="0032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B891" w14:textId="77777777" w:rsidR="00321770" w:rsidRDefault="00321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900755"/>
      <w:docPartObj>
        <w:docPartGallery w:val="Watermarks"/>
        <w:docPartUnique/>
      </w:docPartObj>
    </w:sdtPr>
    <w:sdtContent>
      <w:p w14:paraId="04A4DEF1" w14:textId="7B35814F" w:rsidR="00321770" w:rsidRDefault="00321770">
        <w:pPr>
          <w:pStyle w:val="Header"/>
        </w:pPr>
        <w:r>
          <w:rPr>
            <w:noProof/>
          </w:rPr>
          <w:pict w14:anchorId="6B5410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12DC5" w14:textId="77777777" w:rsidR="00321770" w:rsidRDefault="00321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8CE"/>
    <w:multiLevelType w:val="hybridMultilevel"/>
    <w:tmpl w:val="FFFFFFFF"/>
    <w:lvl w:ilvl="0" w:tplc="64D47AE4">
      <w:start w:val="1"/>
      <w:numFmt w:val="bullet"/>
      <w:lvlText w:val="●"/>
      <w:lvlJc w:val="left"/>
      <w:pPr>
        <w:ind w:left="720" w:hanging="360"/>
      </w:pPr>
    </w:lvl>
    <w:lvl w:ilvl="1" w:tplc="199E35F4">
      <w:start w:val="1"/>
      <w:numFmt w:val="bullet"/>
      <w:lvlText w:val="○"/>
      <w:lvlJc w:val="left"/>
      <w:pPr>
        <w:ind w:left="1440" w:hanging="360"/>
      </w:pPr>
    </w:lvl>
    <w:lvl w:ilvl="2" w:tplc="3788D460">
      <w:start w:val="1"/>
      <w:numFmt w:val="bullet"/>
      <w:lvlText w:val="■"/>
      <w:lvlJc w:val="left"/>
      <w:pPr>
        <w:ind w:left="2160" w:hanging="360"/>
      </w:pPr>
    </w:lvl>
    <w:lvl w:ilvl="3" w:tplc="DDA0C928">
      <w:start w:val="1"/>
      <w:numFmt w:val="bullet"/>
      <w:lvlText w:val="●"/>
      <w:lvlJc w:val="left"/>
      <w:pPr>
        <w:ind w:left="2880" w:hanging="360"/>
      </w:pPr>
    </w:lvl>
    <w:lvl w:ilvl="4" w:tplc="B2BAF7BE">
      <w:start w:val="1"/>
      <w:numFmt w:val="bullet"/>
      <w:lvlText w:val="○"/>
      <w:lvlJc w:val="left"/>
      <w:pPr>
        <w:ind w:left="3600" w:hanging="360"/>
      </w:pPr>
    </w:lvl>
    <w:lvl w:ilvl="5" w:tplc="D75ECBE4">
      <w:start w:val="1"/>
      <w:numFmt w:val="bullet"/>
      <w:lvlText w:val="■"/>
      <w:lvlJc w:val="left"/>
      <w:pPr>
        <w:ind w:left="4320" w:hanging="360"/>
      </w:pPr>
    </w:lvl>
    <w:lvl w:ilvl="6" w:tplc="93826462">
      <w:start w:val="1"/>
      <w:numFmt w:val="bullet"/>
      <w:lvlText w:val="●"/>
      <w:lvlJc w:val="left"/>
      <w:pPr>
        <w:ind w:left="5040" w:hanging="360"/>
      </w:pPr>
    </w:lvl>
    <w:lvl w:ilvl="7" w:tplc="9BAEF5DA">
      <w:start w:val="1"/>
      <w:numFmt w:val="bullet"/>
      <w:lvlText w:val="●"/>
      <w:lvlJc w:val="left"/>
      <w:pPr>
        <w:ind w:left="5760" w:hanging="360"/>
      </w:pPr>
    </w:lvl>
    <w:lvl w:ilvl="8" w:tplc="4620C7F6">
      <w:start w:val="1"/>
      <w:numFmt w:val="bullet"/>
      <w:lvlText w:val="●"/>
      <w:lvlJc w:val="left"/>
      <w:pPr>
        <w:ind w:left="6480" w:hanging="360"/>
      </w:pPr>
    </w:lvl>
  </w:abstractNum>
  <w:num w:numId="1" w16cid:durableId="32926300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5EDD22"/>
    <w:rsid w:val="000B5588"/>
    <w:rsid w:val="001109A1"/>
    <w:rsid w:val="00151F8F"/>
    <w:rsid w:val="00304504"/>
    <w:rsid w:val="00321770"/>
    <w:rsid w:val="00574EBB"/>
    <w:rsid w:val="00A705CE"/>
    <w:rsid w:val="00B17A4F"/>
    <w:rsid w:val="00F56785"/>
    <w:rsid w:val="00F717C4"/>
    <w:rsid w:val="00FA02D7"/>
    <w:rsid w:val="3EEFC735"/>
    <w:rsid w:val="475EDD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09EE2"/>
  <w15:docId w15:val="{86A13C17-EEB1-4D33-956A-A6DE13C8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style>
  <w:style w:type="character" w:styleId="CommentReference">
    <w:name w:val="annotation reference"/>
    <w:basedOn w:val="DefaultParagraphFont"/>
    <w:uiPriority w:val="99"/>
    <w:semiHidden/>
    <w:unhideWhenUsed/>
    <w:rsid w:val="00FA02D7"/>
    <w:rPr>
      <w:sz w:val="16"/>
      <w:szCs w:val="16"/>
    </w:rPr>
  </w:style>
  <w:style w:type="paragraph" w:styleId="CommentText">
    <w:name w:val="annotation text"/>
    <w:basedOn w:val="Normal"/>
    <w:link w:val="CommentTextChar"/>
    <w:uiPriority w:val="99"/>
    <w:unhideWhenUsed/>
    <w:rsid w:val="00FA02D7"/>
  </w:style>
  <w:style w:type="character" w:customStyle="1" w:styleId="CommentTextChar">
    <w:name w:val="Comment Text Char"/>
    <w:basedOn w:val="DefaultParagraphFont"/>
    <w:link w:val="CommentText"/>
    <w:uiPriority w:val="99"/>
    <w:rsid w:val="00FA02D7"/>
  </w:style>
  <w:style w:type="paragraph" w:styleId="CommentSubject">
    <w:name w:val="annotation subject"/>
    <w:basedOn w:val="CommentText"/>
    <w:next w:val="CommentText"/>
    <w:link w:val="CommentSubjectChar"/>
    <w:uiPriority w:val="99"/>
    <w:semiHidden/>
    <w:unhideWhenUsed/>
    <w:rsid w:val="00FA02D7"/>
    <w:rPr>
      <w:b/>
      <w:bCs/>
    </w:rPr>
  </w:style>
  <w:style w:type="character" w:customStyle="1" w:styleId="CommentSubjectChar">
    <w:name w:val="Comment Subject Char"/>
    <w:basedOn w:val="CommentTextChar"/>
    <w:link w:val="CommentSubject"/>
    <w:uiPriority w:val="99"/>
    <w:semiHidden/>
    <w:rsid w:val="00FA02D7"/>
    <w:rPr>
      <w:b/>
      <w:bCs/>
    </w:rPr>
  </w:style>
  <w:style w:type="paragraph" w:styleId="Header">
    <w:name w:val="header"/>
    <w:basedOn w:val="Normal"/>
    <w:link w:val="HeaderChar"/>
    <w:uiPriority w:val="99"/>
    <w:unhideWhenUsed/>
    <w:rsid w:val="00321770"/>
    <w:pPr>
      <w:tabs>
        <w:tab w:val="center" w:pos="4513"/>
        <w:tab w:val="right" w:pos="9026"/>
      </w:tabs>
    </w:pPr>
  </w:style>
  <w:style w:type="character" w:customStyle="1" w:styleId="HeaderChar">
    <w:name w:val="Header Char"/>
    <w:basedOn w:val="DefaultParagraphFont"/>
    <w:link w:val="Header"/>
    <w:uiPriority w:val="99"/>
    <w:rsid w:val="00321770"/>
  </w:style>
  <w:style w:type="paragraph" w:styleId="Footer">
    <w:name w:val="footer"/>
    <w:basedOn w:val="Normal"/>
    <w:link w:val="FooterChar"/>
    <w:uiPriority w:val="99"/>
    <w:unhideWhenUsed/>
    <w:rsid w:val="00321770"/>
    <w:pPr>
      <w:tabs>
        <w:tab w:val="center" w:pos="4513"/>
        <w:tab w:val="right" w:pos="9026"/>
      </w:tabs>
    </w:pPr>
  </w:style>
  <w:style w:type="character" w:customStyle="1" w:styleId="FooterChar">
    <w:name w:val="Footer Char"/>
    <w:basedOn w:val="DefaultParagraphFont"/>
    <w:link w:val="Footer"/>
    <w:uiPriority w:val="99"/>
    <w:rsid w:val="00321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73440CBD-379C-4B9A-9638-A0FD6FC921A0}">
  <ds:schemaRefs>
    <ds:schemaRef ds:uri="http://schemas.microsoft.com/sharepoint/v3/contenttype/forms"/>
  </ds:schemaRefs>
</ds:datastoreItem>
</file>

<file path=customXml/itemProps2.xml><?xml version="1.0" encoding="utf-8"?>
<ds:datastoreItem xmlns:ds="http://schemas.openxmlformats.org/officeDocument/2006/customXml" ds:itemID="{BBDA423D-2C2A-47D0-9721-75B348E2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3C4BA-1344-408A-B3D3-0AC9BF5A8910}">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2236</Words>
  <Characters>12747</Characters>
  <Application>Microsoft Office Word</Application>
  <DocSecurity>0</DocSecurity>
  <Lines>106</Lines>
  <Paragraphs>29</Paragraphs>
  <ScaleCrop>false</ScaleCrop>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6</cp:revision>
  <dcterms:created xsi:type="dcterms:W3CDTF">2026-07-01T21:49:00Z</dcterms:created>
  <dcterms:modified xsi:type="dcterms:W3CDTF">2026-07-14T07:08:00Z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